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ind w:firstLine="360"/>
        <w:jc w:val="center"/>
        <w:rPr>
          <w:rFonts w:ascii="方正小标宋简体" w:hAnsi="宋体" w:eastAsia="方正小标宋简体" w:cs="宋体"/>
          <w:bCs/>
          <w:kern w:val="0"/>
          <w:sz w:val="44"/>
          <w:szCs w:val="44"/>
        </w:rPr>
      </w:pPr>
      <w:r>
        <w:rPr>
          <w:rFonts w:hint="eastAsia" w:ascii="方正小标宋简体" w:hAnsi="宋体" w:eastAsia="方正小标宋简体" w:cs="宋体"/>
          <w:bCs/>
          <w:kern w:val="0"/>
          <w:sz w:val="44"/>
          <w:szCs w:val="44"/>
        </w:rPr>
        <w:t>山东理工大学学生奖励条例</w:t>
      </w:r>
    </w:p>
    <w:p>
      <w:pPr>
        <w:jc w:val="center"/>
        <w:rPr>
          <w:rFonts w:hint="eastAsia" w:ascii="仿宋" w:hAnsi="仿宋" w:eastAsia="仿宋"/>
          <w:sz w:val="32"/>
        </w:rPr>
      </w:pPr>
      <w:r>
        <w:rPr>
          <w:rFonts w:hint="eastAsia" w:ascii="仿宋" w:hAnsi="仿宋" w:eastAsia="仿宋"/>
          <w:sz w:val="32"/>
        </w:rPr>
        <w:t>（鲁理工大政发〔201</w:t>
      </w:r>
      <w:r>
        <w:rPr>
          <w:rFonts w:ascii="仿宋" w:hAnsi="仿宋" w:eastAsia="仿宋"/>
          <w:sz w:val="32"/>
        </w:rPr>
        <w:t>7</w:t>
      </w:r>
      <w:r>
        <w:rPr>
          <w:rFonts w:hint="eastAsia" w:ascii="仿宋" w:hAnsi="仿宋" w:eastAsia="仿宋"/>
          <w:sz w:val="32"/>
        </w:rPr>
        <w:t>〕131号）</w:t>
      </w:r>
    </w:p>
    <w:p>
      <w:pPr>
        <w:adjustRightInd w:val="0"/>
        <w:snapToGrid w:val="0"/>
        <w:spacing w:line="560" w:lineRule="exact"/>
        <w:rPr>
          <w:rFonts w:ascii="仿宋" w:hAnsi="仿宋" w:eastAsia="仿宋"/>
          <w:snapToGrid w:val="0"/>
          <w:kern w:val="0"/>
          <w:sz w:val="32"/>
          <w:szCs w:val="32"/>
        </w:rPr>
      </w:pPr>
    </w:p>
    <w:p>
      <w:pPr>
        <w:adjustRightInd w:val="0"/>
        <w:snapToGrid w:val="0"/>
        <w:spacing w:line="560" w:lineRule="exact"/>
        <w:jc w:val="center"/>
        <w:rPr>
          <w:rFonts w:ascii="黑体" w:hAnsi="黑体" w:eastAsia="黑体" w:cs="仿宋"/>
          <w:snapToGrid w:val="0"/>
          <w:kern w:val="0"/>
          <w:sz w:val="32"/>
          <w:szCs w:val="32"/>
        </w:rPr>
      </w:pPr>
      <w:r>
        <w:rPr>
          <w:rFonts w:hint="eastAsia" w:ascii="黑体" w:hAnsi="黑体" w:eastAsia="黑体" w:cs="仿宋"/>
          <w:snapToGrid w:val="0"/>
          <w:kern w:val="0"/>
          <w:sz w:val="32"/>
          <w:szCs w:val="32"/>
        </w:rPr>
        <w:t>第一章  总 则</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黑体" w:hAnsi="黑体" w:eastAsia="黑体" w:cs="仿宋"/>
          <w:snapToGrid w:val="0"/>
          <w:kern w:val="0"/>
          <w:sz w:val="32"/>
          <w:szCs w:val="32"/>
        </w:rPr>
        <w:t>第一条</w:t>
      </w:r>
      <w:r>
        <w:rPr>
          <w:rFonts w:hint="eastAsia" w:ascii="仿宋" w:hAnsi="仿宋" w:eastAsia="仿宋" w:cs="仿宋"/>
          <w:snapToGrid w:val="0"/>
          <w:kern w:val="0"/>
          <w:sz w:val="32"/>
          <w:szCs w:val="32"/>
        </w:rPr>
        <w:t xml:space="preserve"> 为全面贯彻党的教育方针，培养适应经济和社会发展需要的应用型高级专门人才，根据《中华人民共和国教育法》《中华人民共和国高等教育法》和《普通高等学校学生管理规定》(教育部令第41号)，结合我校实际情况，特制定本条例。</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黑体" w:hAnsi="黑体" w:eastAsia="黑体" w:cs="仿宋"/>
          <w:snapToGrid w:val="0"/>
          <w:kern w:val="0"/>
          <w:sz w:val="32"/>
          <w:szCs w:val="32"/>
        </w:rPr>
        <w:t>第二条</w:t>
      </w:r>
      <w:r>
        <w:rPr>
          <w:rFonts w:hint="eastAsia" w:ascii="仿宋" w:hAnsi="仿宋" w:eastAsia="仿宋" w:cs="仿宋"/>
          <w:snapToGrid w:val="0"/>
          <w:kern w:val="0"/>
          <w:sz w:val="32"/>
          <w:szCs w:val="32"/>
        </w:rPr>
        <w:t xml:space="preserve"> 本条例适用于在读的全日制普通本科生、专科生和研究生（以下称“学生”）。</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黑体" w:hAnsi="黑体" w:eastAsia="黑体" w:cs="仿宋"/>
          <w:snapToGrid w:val="0"/>
          <w:kern w:val="0"/>
          <w:sz w:val="32"/>
          <w:szCs w:val="32"/>
        </w:rPr>
        <w:t>第三条</w:t>
      </w:r>
      <w:r>
        <w:rPr>
          <w:rFonts w:hint="eastAsia" w:ascii="仿宋" w:hAnsi="仿宋" w:eastAsia="仿宋" w:cs="仿宋"/>
          <w:snapToGrid w:val="0"/>
          <w:kern w:val="0"/>
          <w:sz w:val="32"/>
          <w:szCs w:val="32"/>
        </w:rPr>
        <w:t xml:space="preserve"> 学校对学生的奖励坚持精神鼓励和物质奖励相结合、以精神鼓励为主的原则。</w:t>
      </w:r>
    </w:p>
    <w:p>
      <w:pPr>
        <w:adjustRightInd w:val="0"/>
        <w:snapToGrid w:val="0"/>
        <w:spacing w:line="560" w:lineRule="exact"/>
        <w:jc w:val="center"/>
        <w:rPr>
          <w:rFonts w:ascii="黑体" w:hAnsi="黑体" w:eastAsia="黑体" w:cs="仿宋"/>
          <w:snapToGrid w:val="0"/>
          <w:kern w:val="0"/>
          <w:sz w:val="32"/>
          <w:szCs w:val="32"/>
        </w:rPr>
      </w:pPr>
      <w:r>
        <w:rPr>
          <w:rFonts w:hint="eastAsia" w:ascii="黑体" w:hAnsi="黑体" w:eastAsia="黑体" w:cs="仿宋"/>
          <w:snapToGrid w:val="0"/>
          <w:kern w:val="0"/>
          <w:sz w:val="32"/>
          <w:szCs w:val="32"/>
        </w:rPr>
        <w:t>第二章  奖励种类</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黑体" w:hAnsi="黑体" w:eastAsia="黑体" w:cs="仿宋"/>
          <w:snapToGrid w:val="0"/>
          <w:kern w:val="0"/>
          <w:sz w:val="32"/>
          <w:szCs w:val="32"/>
        </w:rPr>
        <w:t>第四条</w:t>
      </w:r>
      <w:r>
        <w:rPr>
          <w:rFonts w:hint="eastAsia" w:ascii="仿宋" w:hAnsi="仿宋" w:eastAsia="仿宋" w:cs="仿宋"/>
          <w:snapToGrid w:val="0"/>
          <w:kern w:val="0"/>
          <w:sz w:val="32"/>
          <w:szCs w:val="32"/>
        </w:rPr>
        <w:t xml:space="preserve"> 国家和学校设立的奖项有：</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（一）国家奖学金；</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（二）省政府奖学金；</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（三）十佳大学生；</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（四）优秀学生；</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（五）优秀学生干部；</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（六）优秀毕业生；</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（七）学校奖学金；</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（八）单项奖</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1.学习成绩单项奖；</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2.科技活动单项奖；</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3.文体活动单项奖；</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4.其他。</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黑体" w:hAnsi="黑体" w:eastAsia="黑体" w:cs="仿宋"/>
          <w:snapToGrid w:val="0"/>
          <w:kern w:val="0"/>
          <w:sz w:val="32"/>
          <w:szCs w:val="32"/>
        </w:rPr>
        <w:t>第五条</w:t>
      </w:r>
      <w:r>
        <w:rPr>
          <w:rFonts w:hint="eastAsia" w:ascii="仿宋" w:hAnsi="仿宋" w:eastAsia="仿宋" w:cs="仿宋"/>
          <w:snapToGrid w:val="0"/>
          <w:kern w:val="0"/>
          <w:sz w:val="32"/>
          <w:szCs w:val="32"/>
        </w:rPr>
        <w:t xml:space="preserve"> 学校设立的集体奖项有：先进班集体。</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黑体" w:hAnsi="黑体" w:eastAsia="黑体" w:cs="仿宋"/>
          <w:snapToGrid w:val="0"/>
          <w:kern w:val="0"/>
          <w:sz w:val="32"/>
          <w:szCs w:val="32"/>
        </w:rPr>
        <w:t>第六条</w:t>
      </w:r>
      <w:r>
        <w:rPr>
          <w:rFonts w:hint="eastAsia" w:ascii="仿宋" w:hAnsi="仿宋" w:eastAsia="仿宋" w:cs="仿宋"/>
          <w:snapToGrid w:val="0"/>
          <w:kern w:val="0"/>
          <w:sz w:val="32"/>
          <w:szCs w:val="32"/>
        </w:rPr>
        <w:t xml:space="preserve"> 国家奖学金由中央政府出资设立，用于奖励特别优秀的学生，奖励标准为博士生每生每年30000元，硕士生每生每年20000元，本、专科生每生每年8000元；山东省政府奖学金由山东省人民政府出资设立，奖励标准为本、专科生每生每年6000元。国家和山东省政府奖学金的评选依据《山东理工大学国家奖学金、省政府奖学金管理办法》（鲁理工大政发〔2011〕99号）和《山东理工大学研究生奖助学金发放实施办法》（鲁理工大办发〔2017〕7号）组织实施。</w:t>
      </w:r>
    </w:p>
    <w:p>
      <w:pPr>
        <w:adjustRightInd w:val="0"/>
        <w:snapToGrid w:val="0"/>
        <w:spacing w:line="560" w:lineRule="exact"/>
        <w:jc w:val="center"/>
        <w:rPr>
          <w:rFonts w:ascii="黑体" w:hAnsi="黑体" w:eastAsia="黑体" w:cs="仿宋"/>
          <w:snapToGrid w:val="0"/>
          <w:kern w:val="0"/>
          <w:sz w:val="32"/>
          <w:szCs w:val="32"/>
        </w:rPr>
      </w:pPr>
      <w:r>
        <w:rPr>
          <w:rFonts w:hint="eastAsia" w:ascii="黑体" w:hAnsi="黑体" w:eastAsia="黑体" w:cs="仿宋"/>
          <w:snapToGrid w:val="0"/>
          <w:kern w:val="0"/>
          <w:sz w:val="32"/>
          <w:szCs w:val="32"/>
        </w:rPr>
        <w:t>第三章  表彰方式</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黑体" w:hAnsi="黑体" w:eastAsia="黑体" w:cs="仿宋"/>
          <w:snapToGrid w:val="0"/>
          <w:kern w:val="0"/>
          <w:sz w:val="32"/>
          <w:szCs w:val="32"/>
        </w:rPr>
        <w:t>第七条</w:t>
      </w:r>
      <w:r>
        <w:rPr>
          <w:rFonts w:hint="eastAsia" w:ascii="仿宋" w:hAnsi="仿宋" w:eastAsia="仿宋" w:cs="仿宋"/>
          <w:snapToGrid w:val="0"/>
          <w:kern w:val="0"/>
          <w:sz w:val="32"/>
          <w:szCs w:val="32"/>
        </w:rPr>
        <w:t xml:space="preserve"> 学校对获奖者的表彰方式有以下四种：</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（一）授予荣誉称号；</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（二）通报表扬；</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（三）颁发证书或奖章；</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（四）颁发奖金或奖品。</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黑体" w:hAnsi="黑体" w:eastAsia="黑体" w:cs="仿宋"/>
          <w:snapToGrid w:val="0"/>
          <w:kern w:val="0"/>
          <w:sz w:val="32"/>
          <w:szCs w:val="32"/>
        </w:rPr>
        <w:t>第八条</w:t>
      </w:r>
      <w:r>
        <w:rPr>
          <w:rFonts w:hint="eastAsia" w:ascii="仿宋" w:hAnsi="仿宋" w:eastAsia="仿宋" w:cs="仿宋"/>
          <w:snapToGrid w:val="0"/>
          <w:kern w:val="0"/>
          <w:sz w:val="32"/>
          <w:szCs w:val="32"/>
        </w:rPr>
        <w:t xml:space="preserve"> 对国家、社会、学校做出特殊贡献，为学校赢得荣誉的集体或个人，学校将根据实际情况予以奖励，具体实施办法另行规定。</w:t>
      </w:r>
    </w:p>
    <w:p>
      <w:pPr>
        <w:adjustRightInd w:val="0"/>
        <w:snapToGrid w:val="0"/>
        <w:spacing w:line="560" w:lineRule="exact"/>
        <w:jc w:val="center"/>
        <w:rPr>
          <w:rFonts w:ascii="仿宋" w:hAnsi="仿宋" w:eastAsia="仿宋" w:cs="仿宋"/>
          <w:b/>
          <w:bCs/>
          <w:snapToGrid w:val="0"/>
          <w:kern w:val="0"/>
          <w:sz w:val="32"/>
          <w:szCs w:val="32"/>
        </w:rPr>
      </w:pPr>
      <w:r>
        <w:rPr>
          <w:rFonts w:hint="eastAsia" w:ascii="黑体" w:hAnsi="黑体" w:eastAsia="黑体" w:cs="仿宋"/>
          <w:snapToGrid w:val="0"/>
          <w:kern w:val="0"/>
          <w:sz w:val="32"/>
          <w:szCs w:val="32"/>
        </w:rPr>
        <w:t>第四章  评选条件</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黑体" w:hAnsi="黑体" w:eastAsia="黑体" w:cs="仿宋"/>
          <w:snapToGrid w:val="0"/>
          <w:kern w:val="0"/>
          <w:sz w:val="32"/>
          <w:szCs w:val="32"/>
        </w:rPr>
        <w:t>第九条</w:t>
      </w:r>
      <w:r>
        <w:rPr>
          <w:rFonts w:hint="eastAsia" w:ascii="仿宋" w:hAnsi="仿宋" w:eastAsia="仿宋" w:cs="仿宋"/>
          <w:snapToGrid w:val="0"/>
          <w:kern w:val="0"/>
          <w:sz w:val="32"/>
          <w:szCs w:val="32"/>
        </w:rPr>
        <w:t xml:space="preserve"> 所有获奖学生必须具有较好的思想政治素质；拥护中国共产党、拥护社会主义；积极要求进步，思想品德端正，崇尚科学，遵纪守法。</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黑体" w:hAnsi="黑体" w:eastAsia="黑体" w:cs="仿宋"/>
          <w:snapToGrid w:val="0"/>
          <w:kern w:val="0"/>
          <w:sz w:val="32"/>
          <w:szCs w:val="32"/>
        </w:rPr>
        <w:t>第十条</w:t>
      </w:r>
      <w:r>
        <w:rPr>
          <w:rFonts w:hint="eastAsia" w:ascii="仿宋" w:hAnsi="仿宋" w:eastAsia="仿宋" w:cs="仿宋"/>
          <w:snapToGrid w:val="0"/>
          <w:kern w:val="0"/>
          <w:sz w:val="32"/>
          <w:szCs w:val="32"/>
        </w:rPr>
        <w:t xml:space="preserve"> 十佳大学生评选条件：</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十佳大学生是学校授予学生个人的最高荣誉。要求学生德智体全面发展，综合考评成绩列班级前20%，获得优秀学生或优秀学生干部，且符合下列条件之一者，可参与校十佳大学生的评选。</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（一）学习成绩优异，且在学校数学、英语、计算机等学习竞赛中获得一等奖，或在省以上各种学习竞赛中获得三等以上奖励，为学校学风建设做出贡献的学生；</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（二）科研能力突出，积极参加科研活动，在省级以上大学生科技活动中获奖，或获学校学生科技二等奖以上奖励，或在具有正式刊号的学术刊物上发表学术论文，为学校学生科研工作做出贡献的学生；</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三）具有文艺特长，多次组织校内大型文艺活动，或两次在校级文艺比赛中获二等以上奖励，或在市级以上文艺大赛中获三等以上奖励，为学校文艺工作做出突出贡献的学生；具有体育特长，在校运动会中多次取得优异成绩，或连年在校各类球赛中取得优秀成绩的主力队员，或在省以上大学生运动会上取得较好名次，为学校体育工作做出贡献的学生；</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（四）具有写作特长，作品在市级以上报刊发表，且两次在校级各类征文比赛中获二等以上奖励；或两次以上被评为校宣传报道工作先进个人，为学校宣传工作做出贡献的学生；</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五）具有组织特长，担任学校或学院主要学生干部，且被评为省级“优秀学生干部”，或三次被评为校级“优秀学生干部”，或所在班级被评为省级先进集体或连续三次被评为校级先进集体，为学校学生工作做出贡献的学生；</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六）实践能力突出，积极参加学校和学院组织的社会实践活动，调查报告获省级以上奖励，或被省级以上单位表彰为社会实践先进个人，或积极组织和参加其他社会活动，获得显著社会效益，为学校学生社会实践工作做出贡献的学生；</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（七）具有其他方面特长，在相关领域取得突出成绩，为学校做出贡献的学生。</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黑体" w:hAnsi="黑体" w:eastAsia="黑体" w:cs="仿宋"/>
          <w:snapToGrid w:val="0"/>
          <w:kern w:val="0"/>
          <w:sz w:val="32"/>
          <w:szCs w:val="32"/>
        </w:rPr>
        <w:t>第十一条</w:t>
      </w:r>
      <w:r>
        <w:rPr>
          <w:rFonts w:hint="eastAsia" w:ascii="仿宋" w:hAnsi="仿宋" w:eastAsia="仿宋" w:cs="仿宋"/>
          <w:snapToGrid w:val="0"/>
          <w:kern w:val="0"/>
          <w:sz w:val="32"/>
          <w:szCs w:val="32"/>
        </w:rPr>
        <w:t xml:space="preserve"> 优秀学生评选条件：</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（一）热爱所学专业，勤奋学习，成绩优秀；</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（二）积极参加社会实践活动，有一定的理论联系实际能力和开拓创新精神，取得突出成绩；</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（三）积极参加体育锻炼和文娱活动，有良好的卫生习惯和健康的心理素质，达到国家体育锻炼标准；</w:t>
      </w:r>
    </w:p>
    <w:p>
      <w:pPr>
        <w:adjustRightInd w:val="0"/>
        <w:snapToGrid w:val="0"/>
        <w:spacing w:line="560" w:lineRule="exact"/>
        <w:ind w:firstLine="640" w:firstLineChars="200"/>
        <w:rPr>
          <w:rFonts w:ascii="仿宋" w:hAnsi="仿宋" w:eastAsia="仿宋" w:cs="仿宋"/>
          <w:snapToGrid w:val="0"/>
          <w:color w:val="FF0000"/>
          <w:kern w:val="0"/>
          <w:sz w:val="32"/>
          <w:szCs w:val="32"/>
        </w:rPr>
      </w:pPr>
      <w:r>
        <w:rPr>
          <w:rFonts w:hint="eastAsia" w:ascii="仿宋" w:hAnsi="仿宋" w:eastAsia="仿宋" w:cs="仿宋"/>
          <w:snapToGrid w:val="0"/>
          <w:color w:val="FF0000"/>
          <w:kern w:val="0"/>
          <w:sz w:val="32"/>
          <w:szCs w:val="32"/>
        </w:rPr>
        <w:t>（四）综合考评成绩列班级前20％。</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黑体" w:hAnsi="黑体" w:eastAsia="黑体" w:cs="仿宋"/>
          <w:snapToGrid w:val="0"/>
          <w:kern w:val="0"/>
          <w:sz w:val="32"/>
          <w:szCs w:val="32"/>
        </w:rPr>
        <w:t>第十二条</w:t>
      </w:r>
      <w:r>
        <w:rPr>
          <w:rFonts w:hint="eastAsia" w:ascii="仿宋" w:hAnsi="仿宋" w:eastAsia="仿宋" w:cs="仿宋"/>
          <w:snapToGrid w:val="0"/>
          <w:kern w:val="0"/>
          <w:sz w:val="32"/>
          <w:szCs w:val="32"/>
        </w:rPr>
        <w:t xml:space="preserve"> 优秀学生干部评选条件：</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（一）具有良好的政治素质和思想品德；</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（二）工作积极认真，责任心强，能独立完成所担负的工作，成绩显著；</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（三）以身作则，表率作用突出，办事公道，在同学中有较高的威信；</w:t>
      </w:r>
    </w:p>
    <w:p>
      <w:pPr>
        <w:adjustRightInd w:val="0"/>
        <w:snapToGrid w:val="0"/>
        <w:spacing w:line="560" w:lineRule="exact"/>
        <w:ind w:firstLine="640" w:firstLineChars="200"/>
        <w:rPr>
          <w:rFonts w:ascii="仿宋" w:hAnsi="仿宋" w:eastAsia="仿宋" w:cs="仿宋"/>
          <w:snapToGrid w:val="0"/>
          <w:color w:val="FF0000"/>
          <w:kern w:val="0"/>
          <w:sz w:val="32"/>
          <w:szCs w:val="32"/>
        </w:rPr>
      </w:pPr>
      <w:r>
        <w:rPr>
          <w:rFonts w:hint="eastAsia" w:ascii="仿宋" w:hAnsi="仿宋" w:eastAsia="仿宋" w:cs="仿宋"/>
          <w:snapToGrid w:val="0"/>
          <w:color w:val="FF0000"/>
          <w:kern w:val="0"/>
          <w:sz w:val="32"/>
          <w:szCs w:val="32"/>
        </w:rPr>
        <w:t>（四）综合考评成绩列班级前30％。</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黑体" w:hAnsi="黑体" w:eastAsia="黑体" w:cs="仿宋"/>
          <w:snapToGrid w:val="0"/>
          <w:kern w:val="0"/>
          <w:sz w:val="32"/>
          <w:szCs w:val="32"/>
        </w:rPr>
        <w:t>第十三条</w:t>
      </w:r>
      <w:r>
        <w:rPr>
          <w:rFonts w:hint="eastAsia" w:ascii="仿宋" w:hAnsi="仿宋" w:eastAsia="仿宋" w:cs="仿宋"/>
          <w:snapToGrid w:val="0"/>
          <w:kern w:val="0"/>
          <w:sz w:val="32"/>
          <w:szCs w:val="32"/>
        </w:rPr>
        <w:t xml:space="preserve"> 优秀毕业生评选条件：</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（一）模范遵守国家法律、法规和校规校纪，在同学中具有较高的威信；</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（二）学习成绩优秀，毕业设计（论文）有较高的水平；</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（三）积极参加文体活动及其他校园文化活动，身心健康；</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（四）择业和就业态度端正，能按国家需要选择工作志愿，严格履行就业协议；</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（五）综合考评成绩列班级前20％。</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黑体" w:hAnsi="黑体" w:eastAsia="黑体" w:cs="仿宋"/>
          <w:snapToGrid w:val="0"/>
          <w:kern w:val="0"/>
          <w:sz w:val="32"/>
          <w:szCs w:val="32"/>
        </w:rPr>
        <w:t>第十四条</w:t>
      </w:r>
      <w:r>
        <w:rPr>
          <w:rFonts w:hint="eastAsia" w:ascii="仿宋" w:hAnsi="仿宋" w:eastAsia="仿宋" w:cs="仿宋"/>
          <w:snapToGrid w:val="0"/>
          <w:kern w:val="0"/>
          <w:sz w:val="32"/>
          <w:szCs w:val="32"/>
        </w:rPr>
        <w:t xml:space="preserve"> 学校奖学金评选条件: </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（一）学校奖学金适用于我校按国家计划招收的全日制在校本、专科学生；</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（二）学校奖学金的评定以学生学年德、智、体综合考评成绩为依据。</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黑体" w:hAnsi="黑体" w:eastAsia="黑体" w:cs="仿宋"/>
          <w:snapToGrid w:val="0"/>
          <w:kern w:val="0"/>
          <w:sz w:val="32"/>
          <w:szCs w:val="32"/>
        </w:rPr>
        <w:t>第十五条</w:t>
      </w:r>
      <w:r>
        <w:rPr>
          <w:rFonts w:hint="eastAsia" w:ascii="仿宋" w:hAnsi="仿宋" w:eastAsia="仿宋" w:cs="仿宋"/>
          <w:snapToGrid w:val="0"/>
          <w:kern w:val="0"/>
          <w:sz w:val="32"/>
          <w:szCs w:val="32"/>
        </w:rPr>
        <w:t xml:space="preserve"> 单项奖评选条件：</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一）学习成绩单项奖：学习目的明确，勤奋好学，学习成绩列本专业年级第一名（专业年级人数多于150人时取前两名）。参加全国、全省各种学习、知识竞赛等活动，获全国竞赛个人三等奖（含三等奖）以上或参赛前六名者，获全省性竞赛个人三等奖（含三等奖）以上或参赛前三名者。</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二）科技活动单项奖：参加全国、全省各种科技发明、科技创新等活动，获全国竞赛个人三等奖（含三等奖）以上或参赛前六名者，获省级竞赛个人三等奖（含三等奖）以上或参赛前三名者；在国家级核心期刊或《人民日报》《光明日报》等报刊理论版发表学术论文（首位），在一般核心刊物上发表学术论文（首位），在具有统一刊号的其他专业刊物上发表学术论文（首位），论文（首位）获全国性学术会议优秀奖（含优秀奖）以上者；凡有创造发明或重要技术革新，并有重大经济效益或获得与本学科有关的某项专利者（首位）。</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（三）文体活动单项奖：参加全国、全省各种体育或文艺竞赛，获全国竞赛个人三等奖（含三等奖）以上或参赛前六名者；获全省竞赛个人三等奖（含三等奖）以上或参赛前三名者。</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四）其他：积极参与组织学校各项集体活动，有较强的社会工作能力，取得突出成绩；积极参与社会公益活动，表现突出，为学校赢得荣誉；具有见义勇为、助人为乐、拾金不昧等行为，受到有关部门表扬者，学校将分别给予奖励。</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（五）参加全国、全省各种竞赛，获全国竞赛集体三等奖（含三等奖）以上或参赛前六名，获全省竞赛集体三等奖（含三等奖）以上或参赛前三名，在以上项目中做出突出贡献的个人可申报对应的单项奖。</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黑体" w:hAnsi="黑体" w:eastAsia="黑体" w:cs="仿宋"/>
          <w:snapToGrid w:val="0"/>
          <w:kern w:val="0"/>
          <w:sz w:val="32"/>
          <w:szCs w:val="32"/>
        </w:rPr>
        <w:t>第十六条</w:t>
      </w:r>
      <w:r>
        <w:rPr>
          <w:rFonts w:hint="eastAsia" w:ascii="仿宋" w:hAnsi="仿宋" w:eastAsia="仿宋" w:cs="仿宋"/>
          <w:snapToGrid w:val="0"/>
          <w:kern w:val="0"/>
          <w:sz w:val="32"/>
          <w:szCs w:val="32"/>
        </w:rPr>
        <w:t xml:space="preserve"> “先进班集体”评选条件：</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（一）全班学生都能拥护党的路线、方针、政策，自觉遵守国家法律、法规和学校的各项规章制度；</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（二）班级组织机构健全，班干部能以身作则，团结协作、责任心强，工作有计划、有记录、有总结，积极努力开展各项工作；</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（三）全班学生积极上进，认真参加各种政治学习和思想教育活动，每次出勤率达到90％以上，学风良好；</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（四）全班学生学习勤奋，学风严谨，课堂秩序良好，课堂出勤率达到90％以上，班风良好；</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（五）同学之间在学习上互相帮助，取长补短，全班学生学习成绩不及格人数不超过本班人数的15％；</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（六）学年内无考试作弊等严重违纪现象；</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（七）同学间团结友爱，彼此尊重，互相帮助，关系融洽；</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（八）经常开展有利于学生身心健康的集体活动，积极参加校、院组织的各种体育活动与比赛。</w:t>
      </w:r>
    </w:p>
    <w:p>
      <w:pPr>
        <w:adjustRightInd w:val="0"/>
        <w:snapToGrid w:val="0"/>
        <w:spacing w:line="560" w:lineRule="exact"/>
        <w:jc w:val="center"/>
        <w:rPr>
          <w:rFonts w:ascii="黑体" w:hAnsi="黑体" w:eastAsia="黑体" w:cs="仿宋"/>
          <w:snapToGrid w:val="0"/>
          <w:kern w:val="0"/>
          <w:sz w:val="32"/>
          <w:szCs w:val="32"/>
        </w:rPr>
      </w:pPr>
      <w:r>
        <w:rPr>
          <w:rFonts w:hint="eastAsia" w:ascii="黑体" w:hAnsi="黑体" w:eastAsia="黑体" w:cs="仿宋"/>
          <w:snapToGrid w:val="0"/>
          <w:kern w:val="0"/>
          <w:sz w:val="32"/>
          <w:szCs w:val="32"/>
        </w:rPr>
        <w:t>第五章  评选程序</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黑体" w:hAnsi="黑体" w:eastAsia="黑体" w:cs="仿宋"/>
          <w:snapToGrid w:val="0"/>
          <w:kern w:val="0"/>
          <w:sz w:val="32"/>
          <w:szCs w:val="32"/>
        </w:rPr>
        <w:t>第十七条</w:t>
      </w:r>
      <w:r>
        <w:rPr>
          <w:rFonts w:hint="eastAsia" w:ascii="仿宋" w:hAnsi="仿宋" w:eastAsia="仿宋" w:cs="仿宋"/>
          <w:snapToGrid w:val="0"/>
          <w:kern w:val="0"/>
          <w:sz w:val="32"/>
          <w:szCs w:val="32"/>
        </w:rPr>
        <w:t xml:space="preserve"> 学生奖励评审工作在学生工作委员会领导下，由学生工作处、团委、研究生院及各学院具体负责组织实施。</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黑体" w:hAnsi="黑体" w:eastAsia="黑体" w:cs="仿宋"/>
          <w:snapToGrid w:val="0"/>
          <w:kern w:val="0"/>
          <w:sz w:val="32"/>
          <w:szCs w:val="32"/>
        </w:rPr>
        <w:t>第十八条</w:t>
      </w:r>
      <w:r>
        <w:rPr>
          <w:rFonts w:hint="eastAsia" w:ascii="仿宋" w:hAnsi="仿宋" w:eastAsia="仿宋" w:cs="仿宋"/>
          <w:snapToGrid w:val="0"/>
          <w:kern w:val="0"/>
          <w:sz w:val="32"/>
          <w:szCs w:val="32"/>
        </w:rPr>
        <w:t xml:space="preserve"> 国家奖学金、省政府奖学金、十佳大学生、优秀学生、优秀学生干部、学校奖学金、单项奖，先进班集体每年9月份组织评选。优秀毕业生每年4月份组织评选。</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黑体" w:hAnsi="黑体" w:eastAsia="黑体" w:cs="仿宋"/>
          <w:snapToGrid w:val="0"/>
          <w:kern w:val="0"/>
          <w:sz w:val="32"/>
          <w:szCs w:val="32"/>
        </w:rPr>
        <w:t>第十九条</w:t>
      </w:r>
      <w:r>
        <w:rPr>
          <w:rFonts w:hint="eastAsia" w:ascii="仿宋" w:hAnsi="仿宋" w:eastAsia="仿宋" w:cs="仿宋"/>
          <w:snapToGrid w:val="0"/>
          <w:kern w:val="0"/>
          <w:sz w:val="32"/>
          <w:szCs w:val="32"/>
        </w:rPr>
        <w:t xml:space="preserve"> 评选工作的具体程序：</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（一）十佳大学生</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十佳大学生评选由学生工作处统一组织。评选结果报校长办公会审批。</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（二）优秀学生</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优秀学生的评选工作由各学院负责组织。评选结果报学生工作处审核、分管校领导批准。</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（三）优秀学生干部</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院级学生干部的评优工作由各学院组织，校级学生干部的评优工作由学生工作处、团委组织。评选结果报学生工作处审核、分管校领导批准。</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（四）优秀毕业生</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优秀毕业生从应届毕业生中评选，由班级评选推荐，学院审核，报学生工作处复核、分管校领导批准。</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（五）学校奖学金</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各学院负责学校奖学金的评定和发放工作，学校奖学金每学年评定发放一次，新学年开学后两周内完成，毕业班学校奖学金评定发放在毕业前进行。获学校奖学金的学生名单报学生工作处备案。</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（六）单项奖</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符合学习成绩单项奖、科技活动单项奖、文体活动单项奖及其他类奖项申报条件的个人向所在学院提出书面申请，毕业生最后学年符合单项奖申报条件的，毕业前向所在学院申报，各学院负责单项奖的评定和发放工作，获单项奖的学生名单报学生工作处备案。</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（七）先进班集体</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符合评选条件的班级填写先进班集体申报表，报所在学院学生工作办公室。各学院择优推荐，报学生工作处审核、分管校领导批准。</w:t>
      </w:r>
    </w:p>
    <w:p>
      <w:pPr>
        <w:adjustRightInd w:val="0"/>
        <w:snapToGrid w:val="0"/>
        <w:spacing w:line="560" w:lineRule="exact"/>
        <w:jc w:val="center"/>
        <w:rPr>
          <w:rFonts w:ascii="黑体" w:hAnsi="黑体" w:eastAsia="黑体" w:cs="仿宋"/>
          <w:snapToGrid w:val="0"/>
          <w:kern w:val="0"/>
          <w:sz w:val="32"/>
          <w:szCs w:val="32"/>
        </w:rPr>
      </w:pPr>
      <w:r>
        <w:rPr>
          <w:rFonts w:hint="eastAsia" w:ascii="黑体" w:hAnsi="黑体" w:eastAsia="黑体" w:cs="仿宋"/>
          <w:snapToGrid w:val="0"/>
          <w:kern w:val="0"/>
          <w:sz w:val="32"/>
          <w:szCs w:val="32"/>
        </w:rPr>
        <w:t>第六章  表彰奖励</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黑体" w:hAnsi="黑体" w:eastAsia="黑体" w:cs="仿宋"/>
          <w:snapToGrid w:val="0"/>
          <w:kern w:val="0"/>
          <w:sz w:val="32"/>
          <w:szCs w:val="32"/>
        </w:rPr>
        <w:t>第二十条</w:t>
      </w:r>
      <w:r>
        <w:rPr>
          <w:rFonts w:hint="eastAsia" w:ascii="仿宋" w:hAnsi="仿宋" w:eastAsia="仿宋" w:cs="仿宋"/>
          <w:snapToGrid w:val="0"/>
          <w:kern w:val="0"/>
          <w:sz w:val="32"/>
          <w:szCs w:val="32"/>
        </w:rPr>
        <w:t xml:space="preserve"> 奖励人数（比例）及方式：</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（一）学校为十佳大学生颁发奖牌、荣誉证书和每人2000元奖金。同时，学生工作处、团委和各学院通过多种渠道宣传其先进事迹，以达到树立典型，教育和激励全校学生的目的。</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（二）优秀学生干部的评选各班级可评选2-3名，校、院学生会、团组织学生干部评优不超过其学生干部总数的20%，学校为其颁发荣誉证书。</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（三）优秀学生的评选比例不超过学院学生总数的10％，学校为其颁发荣誉证书。</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（四）优秀毕业生的评选比例不超过学院毕业生总数的10％，其中前5%推荐为省级优秀毕业生，学校为其颁发荣誉证书。</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（五）学校奖学金经费按每生每年90元的标准预算到各学院，学校奖学金设一个等级，</w:t>
      </w:r>
      <w:bookmarkStart w:id="0" w:name="_GoBack"/>
      <w:r>
        <w:rPr>
          <w:rFonts w:hint="eastAsia" w:ascii="仿宋" w:hAnsi="仿宋" w:eastAsia="仿宋" w:cs="仿宋"/>
          <w:snapToGrid w:val="0"/>
          <w:color w:val="FF0000"/>
          <w:kern w:val="0"/>
          <w:sz w:val="32"/>
          <w:szCs w:val="32"/>
        </w:rPr>
        <w:t>获得奖学金人数按学生总数的15%进行评选，每人每学年600元</w:t>
      </w:r>
      <w:bookmarkEnd w:id="0"/>
      <w:r>
        <w:rPr>
          <w:rFonts w:hint="eastAsia" w:ascii="仿宋" w:hAnsi="仿宋" w:eastAsia="仿宋" w:cs="仿宋"/>
          <w:snapToGrid w:val="0"/>
          <w:kern w:val="0"/>
          <w:sz w:val="32"/>
          <w:szCs w:val="32"/>
        </w:rPr>
        <w:t>，学校为其颁发荣誉证书。</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六）本科、专科学生单项奖经费按学校预算划拨到各学院（不包含一年级学生），学校为各项单项奖获得者颁发荣誉证书，并给予每人600元的奖励。学生在其他方面为学校做出重大贡献，经学生工作处审核，分管校领导批准，参照相关条款给予奖励。</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（七）先进班集体的评选比例不超过学院班级总数的10％，学校为其颁发荣誉奖状和奖品，并通报表扬。</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黑体" w:hAnsi="黑体" w:eastAsia="黑体" w:cs="仿宋"/>
          <w:snapToGrid w:val="0"/>
          <w:kern w:val="0"/>
          <w:sz w:val="32"/>
          <w:szCs w:val="32"/>
        </w:rPr>
        <w:t>第二十一条</w:t>
      </w:r>
      <w:r>
        <w:rPr>
          <w:rFonts w:hint="eastAsia" w:ascii="仿宋" w:hAnsi="仿宋" w:eastAsia="仿宋" w:cs="仿宋"/>
          <w:snapToGrid w:val="0"/>
          <w:kern w:val="0"/>
          <w:sz w:val="32"/>
          <w:szCs w:val="32"/>
        </w:rPr>
        <w:t xml:space="preserve"> 学生评奖材料装入本人档案。</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黑体" w:hAnsi="黑体" w:eastAsia="黑体" w:cs="仿宋"/>
          <w:snapToGrid w:val="0"/>
          <w:kern w:val="0"/>
          <w:sz w:val="32"/>
          <w:szCs w:val="32"/>
        </w:rPr>
        <w:t>第二十二条</w:t>
      </w:r>
      <w:r>
        <w:rPr>
          <w:rFonts w:hint="eastAsia" w:ascii="仿宋" w:hAnsi="仿宋" w:eastAsia="仿宋" w:cs="仿宋"/>
          <w:snapToGrid w:val="0"/>
          <w:kern w:val="0"/>
          <w:sz w:val="32"/>
          <w:szCs w:val="32"/>
        </w:rPr>
        <w:t xml:space="preserve"> 在各类奖励评选中若存在弄虚作假、舞弊等不良行为，则取消其荣誉称号，追回所得奖金。</w:t>
      </w:r>
    </w:p>
    <w:p>
      <w:pPr>
        <w:adjustRightInd w:val="0"/>
        <w:snapToGrid w:val="0"/>
        <w:spacing w:line="560" w:lineRule="exact"/>
        <w:jc w:val="center"/>
        <w:rPr>
          <w:rFonts w:ascii="黑体" w:hAnsi="黑体" w:eastAsia="黑体" w:cs="仿宋"/>
          <w:snapToGrid w:val="0"/>
          <w:kern w:val="0"/>
          <w:sz w:val="32"/>
          <w:szCs w:val="32"/>
        </w:rPr>
      </w:pPr>
      <w:r>
        <w:rPr>
          <w:rFonts w:hint="eastAsia" w:ascii="黑体" w:hAnsi="黑体" w:eastAsia="黑体" w:cs="仿宋"/>
          <w:snapToGrid w:val="0"/>
          <w:kern w:val="0"/>
          <w:sz w:val="32"/>
          <w:szCs w:val="32"/>
        </w:rPr>
        <w:t>第七章  附 则</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黑体" w:hAnsi="黑体" w:eastAsia="黑体" w:cs="仿宋"/>
          <w:snapToGrid w:val="0"/>
          <w:kern w:val="0"/>
          <w:sz w:val="32"/>
          <w:szCs w:val="32"/>
        </w:rPr>
        <w:t>第二十三条</w:t>
      </w:r>
      <w:r>
        <w:rPr>
          <w:rFonts w:hint="eastAsia" w:ascii="仿宋" w:hAnsi="仿宋" w:eastAsia="仿宋" w:cs="仿宋"/>
          <w:snapToGrid w:val="0"/>
          <w:kern w:val="0"/>
          <w:sz w:val="32"/>
          <w:szCs w:val="32"/>
        </w:rPr>
        <w:t xml:space="preserve"> 受纪律处分的学生，处分期限内不得参与以上奖励的评选。</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黑体" w:hAnsi="黑体" w:eastAsia="黑体" w:cs="仿宋"/>
          <w:snapToGrid w:val="0"/>
          <w:kern w:val="0"/>
          <w:sz w:val="32"/>
          <w:szCs w:val="32"/>
        </w:rPr>
        <w:t>第二十四条</w:t>
      </w:r>
      <w:r>
        <w:rPr>
          <w:rFonts w:hint="eastAsia" w:ascii="仿宋" w:hAnsi="仿宋" w:eastAsia="仿宋" w:cs="仿宋"/>
          <w:snapToGrid w:val="0"/>
          <w:kern w:val="0"/>
          <w:sz w:val="32"/>
          <w:szCs w:val="32"/>
        </w:rPr>
        <w:t xml:space="preserve"> 本条例由学生工作处负责解释。</w:t>
      </w:r>
    </w:p>
    <w:p>
      <w:pPr>
        <w:adjustRightInd w:val="0"/>
        <w:snapToGrid w:val="0"/>
        <w:spacing w:line="560" w:lineRule="exact"/>
        <w:ind w:firstLine="640" w:firstLineChars="200"/>
        <w:rPr>
          <w:rFonts w:ascii="仿宋" w:hAnsi="仿宋" w:eastAsia="仿宋" w:cs="仿宋"/>
          <w:snapToGrid w:val="0"/>
          <w:kern w:val="0"/>
          <w:sz w:val="32"/>
          <w:szCs w:val="32"/>
        </w:rPr>
      </w:pPr>
      <w:r>
        <w:rPr>
          <w:rFonts w:hint="eastAsia" w:ascii="黑体" w:hAnsi="黑体" w:eastAsia="黑体" w:cs="仿宋"/>
          <w:snapToGrid w:val="0"/>
          <w:kern w:val="0"/>
          <w:sz w:val="32"/>
          <w:szCs w:val="32"/>
        </w:rPr>
        <w:t>第二十五条</w:t>
      </w:r>
      <w:r>
        <w:rPr>
          <w:rFonts w:hint="eastAsia" w:ascii="仿宋" w:hAnsi="仿宋" w:eastAsia="仿宋" w:cs="仿宋"/>
          <w:snapToGrid w:val="0"/>
          <w:kern w:val="0"/>
          <w:sz w:val="32"/>
          <w:szCs w:val="32"/>
        </w:rPr>
        <w:t xml:space="preserve"> 本条例自印发之日起施行。原《山东理工大学学生奖励条例》（鲁理工大政发〔2015〕66号）同时废止。</w:t>
      </w:r>
    </w:p>
    <w:p>
      <w:pPr>
        <w:adjustRightInd w:val="0"/>
        <w:snapToGrid w:val="0"/>
        <w:spacing w:line="560" w:lineRule="exact"/>
        <w:ind w:firstLine="640" w:firstLineChars="200"/>
        <w:rPr>
          <w:rFonts w:hint="eastAsia" w:ascii="仿宋" w:hAnsi="仿宋" w:eastAsia="仿宋" w:cs="仿宋"/>
          <w:snapToGrid w:val="0"/>
          <w:kern w:val="0"/>
          <w:sz w:val="32"/>
          <w:szCs w:val="32"/>
        </w:rPr>
      </w:pPr>
    </w:p>
    <w:p>
      <w:pPr>
        <w:spacing w:line="560" w:lineRule="exact"/>
        <w:ind w:firstLine="640" w:firstLineChars="200"/>
        <w:rPr>
          <w:rFonts w:ascii="仿宋_GB2312" w:hAnsi="仿宋" w:eastAsia="仿宋_GB2312" w:cs="宋体"/>
          <w:bCs/>
          <w:sz w:val="32"/>
          <w:szCs w:val="32"/>
        </w:rPr>
      </w:pPr>
    </w:p>
    <w:p>
      <w:pPr>
        <w:pBdr>
          <w:top w:val="single" w:color="auto" w:sz="6" w:space="0"/>
          <w:bottom w:val="single" w:color="auto" w:sz="6" w:space="1"/>
        </w:pBdr>
        <w:spacing w:line="560" w:lineRule="exact"/>
        <w:rPr>
          <w:rFonts w:hint="eastAsia" w:ascii="仿宋" w:hAnsi="仿宋" w:eastAsia="仿宋" w:cs="宋体"/>
          <w:spacing w:val="-6"/>
          <w:sz w:val="24"/>
        </w:rPr>
      </w:pPr>
      <w:r>
        <w:rPr>
          <w:rFonts w:hint="eastAsia" w:ascii="仿宋" w:hAnsi="仿宋" w:eastAsia="仿宋" w:cs="宋体"/>
          <w:spacing w:val="-6"/>
          <w:sz w:val="28"/>
          <w:szCs w:val="28"/>
        </w:rPr>
        <w:t xml:space="preserve">  抄送：各党总支（党委），校党委各部门、各群团组织。</w:t>
      </w:r>
    </w:p>
    <w:p>
      <w:pPr>
        <w:pBdr>
          <w:bottom w:val="single" w:color="auto" w:sz="6" w:space="1"/>
          <w:between w:val="single" w:color="auto" w:sz="6" w:space="1"/>
        </w:pBdr>
        <w:spacing w:line="560" w:lineRule="exact"/>
        <w:rPr>
          <w:rFonts w:hint="eastAsia" w:ascii="仿宋" w:hAnsi="仿宋" w:eastAsia="仿宋"/>
          <w:sz w:val="32"/>
          <w:szCs w:val="32"/>
        </w:rPr>
      </w:pPr>
      <w:r>
        <w:rPr>
          <w:rFonts w:hint="eastAsia" w:ascii="仿宋" w:hAnsi="仿宋" w:eastAsia="仿宋" w:cs="宋体"/>
          <w:sz w:val="28"/>
          <w:szCs w:val="28"/>
        </w:rPr>
        <w:t xml:space="preserve">  山东理工大学校长办公室                 2017年7月26日印发</w:t>
      </w:r>
    </w:p>
    <w:sectPr>
      <w:footerReference r:id="rId3" w:type="default"/>
      <w:footerReference r:id="rId4" w:type="even"/>
      <w:pgSz w:w="11906" w:h="16838"/>
      <w:pgMar w:top="1474" w:right="1474" w:bottom="1418" w:left="1588" w:header="851" w:footer="680" w:gutter="0"/>
      <w:cols w:space="720" w:num="1"/>
      <w:docGrid w:type="linesAndChars" w:linePitch="32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wiss"/>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wordWrap w:val="0"/>
      <w:ind w:right="280"/>
      <w:jc w:val="right"/>
      <w:rPr>
        <w:rFonts w:ascii="宋体" w:hAnsi="宋体"/>
        <w:sz w:val="28"/>
        <w:szCs w:val="28"/>
      </w:rPr>
    </w:pP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r>
      <w:rPr>
        <w:rFonts w:ascii="宋体" w:hAnsi="宋体"/>
        <w:sz w:val="28"/>
        <w:szCs w:val="28"/>
      </w:rPr>
      <w:t xml:space="preserve"> —</w: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280" w:firstLineChars="100"/>
      <w:rPr>
        <w:rFonts w:ascii="宋体" w:hAnsi="宋体"/>
        <w:sz w:val="28"/>
        <w:szCs w:val="28"/>
      </w:rPr>
    </w:pP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w:t>
    </w:r>
    <w:r>
      <w:rPr>
        <w:rFonts w:ascii="宋体" w:hAnsi="宋体"/>
        <w:sz w:val="28"/>
        <w:szCs w:val="28"/>
      </w:rPr>
      <w:fldChar w:fldCharType="end"/>
    </w:r>
    <w:r>
      <w:rPr>
        <w:rFonts w:ascii="宋体" w:hAnsi="宋体"/>
        <w:sz w:val="28"/>
        <w:szCs w:val="28"/>
      </w:rPr>
      <w:t xml:space="preserve"> —</w: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evenAndOddHeaders w:val="1"/>
  <w:drawingGridHorizontalSpacing w:val="105"/>
  <w:drawingGridVerticalSpacing w:val="156"/>
  <w:displayHorizontalDrawingGridEvery w:val="2"/>
  <w:displayVerticalDrawingGridEvery w:val="2"/>
  <w:noPunctuationKerning w:val="1"/>
  <w:characterSpacingControl w:val="compressPunctuation"/>
  <w:doNotValidateAgainstSchema/>
  <w:doNotDemarcateInvalidXml/>
  <w:compat>
    <w:spaceForUL/>
    <w:balanceSingleByteDoubleByteWidth/>
    <w:doNotLeaveBackslashAlone/>
    <w:ulTrailSpace/>
    <w:adjustLineHeightInTable/>
    <w:useFELayout/>
    <w:compatSetting w:name="compatibilityMode" w:uri="http://schemas.microsoft.com/office/word" w:val="12"/>
  </w:compat>
  <w:rsids>
    <w:rsidRoot w:val="002F6AD9"/>
    <w:rsid w:val="00062605"/>
    <w:rsid w:val="00076F7B"/>
    <w:rsid w:val="000B767F"/>
    <w:rsid w:val="000C6B01"/>
    <w:rsid w:val="001370C7"/>
    <w:rsid w:val="001629AC"/>
    <w:rsid w:val="00180631"/>
    <w:rsid w:val="001B0267"/>
    <w:rsid w:val="001B6BE2"/>
    <w:rsid w:val="002A3B1C"/>
    <w:rsid w:val="002F6AD9"/>
    <w:rsid w:val="00302834"/>
    <w:rsid w:val="003056CF"/>
    <w:rsid w:val="0034657C"/>
    <w:rsid w:val="004106D3"/>
    <w:rsid w:val="004405C7"/>
    <w:rsid w:val="004705F9"/>
    <w:rsid w:val="004B11F6"/>
    <w:rsid w:val="004D0EFC"/>
    <w:rsid w:val="004F21E3"/>
    <w:rsid w:val="005504B2"/>
    <w:rsid w:val="005858C1"/>
    <w:rsid w:val="005D4BCC"/>
    <w:rsid w:val="005E6CC3"/>
    <w:rsid w:val="006277CC"/>
    <w:rsid w:val="00652E42"/>
    <w:rsid w:val="006C0EE5"/>
    <w:rsid w:val="006C20A7"/>
    <w:rsid w:val="00703A94"/>
    <w:rsid w:val="00743309"/>
    <w:rsid w:val="00760BD1"/>
    <w:rsid w:val="0076630C"/>
    <w:rsid w:val="007E45D1"/>
    <w:rsid w:val="008558C7"/>
    <w:rsid w:val="008A067C"/>
    <w:rsid w:val="008D1701"/>
    <w:rsid w:val="008E3E3B"/>
    <w:rsid w:val="00936AA5"/>
    <w:rsid w:val="00957B3D"/>
    <w:rsid w:val="00963FF1"/>
    <w:rsid w:val="00975637"/>
    <w:rsid w:val="009B0E68"/>
    <w:rsid w:val="00A01611"/>
    <w:rsid w:val="00A25D17"/>
    <w:rsid w:val="00A37402"/>
    <w:rsid w:val="00A40965"/>
    <w:rsid w:val="00A41FC7"/>
    <w:rsid w:val="00A60FCE"/>
    <w:rsid w:val="00AA1127"/>
    <w:rsid w:val="00AA3194"/>
    <w:rsid w:val="00AB4FE5"/>
    <w:rsid w:val="00AD532C"/>
    <w:rsid w:val="00AD5DAE"/>
    <w:rsid w:val="00B05C5E"/>
    <w:rsid w:val="00B136C9"/>
    <w:rsid w:val="00B33B40"/>
    <w:rsid w:val="00B34006"/>
    <w:rsid w:val="00B41558"/>
    <w:rsid w:val="00B43CCC"/>
    <w:rsid w:val="00B666B7"/>
    <w:rsid w:val="00B70E4C"/>
    <w:rsid w:val="00BD2F7A"/>
    <w:rsid w:val="00C229B6"/>
    <w:rsid w:val="00C3501B"/>
    <w:rsid w:val="00C42168"/>
    <w:rsid w:val="00C83675"/>
    <w:rsid w:val="00CA5175"/>
    <w:rsid w:val="00CB7B5F"/>
    <w:rsid w:val="00CC4845"/>
    <w:rsid w:val="00CD4E3B"/>
    <w:rsid w:val="00CE5149"/>
    <w:rsid w:val="00D06EFC"/>
    <w:rsid w:val="00D214A7"/>
    <w:rsid w:val="00D309E7"/>
    <w:rsid w:val="00D83DB8"/>
    <w:rsid w:val="00DC7622"/>
    <w:rsid w:val="00DF0403"/>
    <w:rsid w:val="00E165D2"/>
    <w:rsid w:val="00E45D9E"/>
    <w:rsid w:val="00E75945"/>
    <w:rsid w:val="00E84DE9"/>
    <w:rsid w:val="00EA5547"/>
    <w:rsid w:val="00EA576D"/>
    <w:rsid w:val="00EB46C2"/>
    <w:rsid w:val="00EB7AB6"/>
    <w:rsid w:val="00EC74A8"/>
    <w:rsid w:val="00EE0F8F"/>
    <w:rsid w:val="00F0388A"/>
    <w:rsid w:val="00F14F49"/>
    <w:rsid w:val="00F15FF3"/>
    <w:rsid w:val="00F30B69"/>
    <w:rsid w:val="00F45C65"/>
    <w:rsid w:val="00F474AE"/>
    <w:rsid w:val="00F77D28"/>
    <w:rsid w:val="00FD3655"/>
    <w:rsid w:val="00FD4C00"/>
    <w:rsid w:val="00FF0550"/>
    <w:rsid w:val="00FF579A"/>
    <w:rsid w:val="00FF7451"/>
    <w:rsid w:val="05D07899"/>
    <w:rsid w:val="064707DC"/>
    <w:rsid w:val="09CE5FE9"/>
    <w:rsid w:val="0C3B2421"/>
    <w:rsid w:val="10DA7A3F"/>
    <w:rsid w:val="143B75BD"/>
    <w:rsid w:val="16EE1E40"/>
    <w:rsid w:val="1FF32203"/>
    <w:rsid w:val="23DA35BF"/>
    <w:rsid w:val="294E3354"/>
    <w:rsid w:val="2CBC0A72"/>
    <w:rsid w:val="36B45EC8"/>
    <w:rsid w:val="38CB41BA"/>
    <w:rsid w:val="462F27B3"/>
    <w:rsid w:val="46C57C6D"/>
    <w:rsid w:val="494B13CC"/>
    <w:rsid w:val="51881196"/>
    <w:rsid w:val="5443314E"/>
    <w:rsid w:val="58E33356"/>
    <w:rsid w:val="696F0988"/>
    <w:rsid w:val="6F046D30"/>
    <w:rsid w:val="71874850"/>
    <w:rsid w:val="77EF2B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11"/>
    <w:unhideWhenUsed/>
    <w:uiPriority w:val="99"/>
    <w:pPr>
      <w:ind w:left="100" w:leftChars="2500"/>
    </w:pPr>
  </w:style>
  <w:style w:type="paragraph" w:styleId="3">
    <w:name w:val="Balloon Text"/>
    <w:basedOn w:val="1"/>
    <w:link w:val="8"/>
    <w:unhideWhenUsed/>
    <w:uiPriority w:val="99"/>
    <w:rPr>
      <w:kern w:val="0"/>
      <w:sz w:val="18"/>
      <w:szCs w:val="18"/>
    </w:rPr>
  </w:style>
  <w:style w:type="paragraph" w:styleId="4">
    <w:name w:val="footer"/>
    <w:basedOn w:val="1"/>
    <w:link w:val="10"/>
    <w:unhideWhenUsed/>
    <w:uiPriority w:val="0"/>
    <w:pPr>
      <w:tabs>
        <w:tab w:val="center" w:pos="4153"/>
        <w:tab w:val="right" w:pos="8306"/>
      </w:tabs>
      <w:snapToGrid w:val="0"/>
      <w:jc w:val="left"/>
    </w:pPr>
    <w:rPr>
      <w:sz w:val="18"/>
      <w:szCs w:val="18"/>
    </w:rPr>
  </w:style>
  <w:style w:type="paragraph" w:styleId="5">
    <w:name w:val="header"/>
    <w:basedOn w:val="1"/>
    <w:link w:val="9"/>
    <w:unhideWhenUsed/>
    <w:uiPriority w:val="0"/>
    <w:pPr>
      <w:pBdr>
        <w:bottom w:val="single" w:color="auto" w:sz="6" w:space="1"/>
      </w:pBdr>
      <w:tabs>
        <w:tab w:val="center" w:pos="4153"/>
        <w:tab w:val="right" w:pos="8306"/>
      </w:tabs>
      <w:snapToGrid w:val="0"/>
      <w:jc w:val="center"/>
    </w:pPr>
    <w:rPr>
      <w:sz w:val="18"/>
      <w:szCs w:val="18"/>
    </w:rPr>
  </w:style>
  <w:style w:type="character" w:customStyle="1" w:styleId="8">
    <w:name w:val="批注框文本 Char"/>
    <w:link w:val="3"/>
    <w:semiHidden/>
    <w:uiPriority w:val="99"/>
    <w:rPr>
      <w:sz w:val="18"/>
      <w:szCs w:val="18"/>
    </w:rPr>
  </w:style>
  <w:style w:type="character" w:customStyle="1" w:styleId="9">
    <w:name w:val="页眉 Char"/>
    <w:link w:val="5"/>
    <w:uiPriority w:val="0"/>
    <w:rPr>
      <w:kern w:val="2"/>
      <w:sz w:val="18"/>
      <w:szCs w:val="18"/>
    </w:rPr>
  </w:style>
  <w:style w:type="character" w:customStyle="1" w:styleId="10">
    <w:name w:val="页脚 Char"/>
    <w:link w:val="4"/>
    <w:qFormat/>
    <w:uiPriority w:val="0"/>
    <w:rPr>
      <w:kern w:val="2"/>
      <w:sz w:val="18"/>
      <w:szCs w:val="18"/>
    </w:rPr>
  </w:style>
  <w:style w:type="character" w:customStyle="1" w:styleId="11">
    <w:name w:val="日期 Char"/>
    <w:link w:val="2"/>
    <w:semiHidden/>
    <w:uiPriority w:val="99"/>
    <w:rPr>
      <w:kern w:val="2"/>
      <w:sz w:val="21"/>
      <w:szCs w:val="22"/>
    </w:rPr>
  </w:style>
  <w:style w:type="paragraph" w:customStyle="1" w:styleId="12">
    <w:name w:val="0"/>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3">
    <w:name w:val="Default"/>
    <w:uiPriority w:val="0"/>
    <w:pPr>
      <w:widowControl w:val="0"/>
      <w:autoSpaceDE w:val="0"/>
      <w:autoSpaceDN w:val="0"/>
      <w:adjustRightInd w:val="0"/>
    </w:pPr>
    <w:rPr>
      <w:rFonts w:ascii="方正小标宋简体" w:hAnsi="方正小标宋简体" w:eastAsia="宋体" w:cs="方正小标宋简体"/>
      <w:color w:val="000000"/>
      <w:sz w:val="24"/>
      <w:szCs w:val="24"/>
      <w:lang w:val="en-US" w:eastAsia="zh-CN" w:bidi="ar-SA"/>
    </w:rPr>
  </w:style>
  <w:style w:type="paragraph" w:customStyle="1" w:styleId="14">
    <w:name w:val="无间隔1"/>
    <w:basedOn w:val="1"/>
    <w:link w:val="15"/>
    <w:qFormat/>
    <w:uiPriority w:val="1"/>
    <w:pPr>
      <w:widowControl/>
      <w:jc w:val="left"/>
    </w:pPr>
    <w:rPr>
      <w:rFonts w:ascii="Calibri" w:hAnsi="Calibri"/>
      <w:kern w:val="0"/>
      <w:sz w:val="22"/>
      <w:lang w:eastAsia="en-US" w:bidi="en-US"/>
    </w:rPr>
  </w:style>
  <w:style w:type="character" w:customStyle="1" w:styleId="15">
    <w:name w:val="无间隔 Char"/>
    <w:link w:val="14"/>
    <w:qFormat/>
    <w:uiPriority w:val="1"/>
    <w:rPr>
      <w:rFonts w:ascii="Calibri" w:hAnsi="Calibri" w:eastAsia="宋体" w:cs="Times New Roman"/>
      <w:sz w:val="22"/>
      <w:szCs w:val="22"/>
      <w:lang w:eastAsia="en-US" w:bidi="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697705-6A89-4B07-932C-D190B87C1922}">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9</Pages>
  <Words>672</Words>
  <Characters>3835</Characters>
  <Lines>31</Lines>
  <Paragraphs>8</Paragraphs>
  <TotalTime>0</TotalTime>
  <ScaleCrop>false</ScaleCrop>
  <LinksUpToDate>false</LinksUpToDate>
  <CharactersWithSpaces>4499</CharactersWithSpaces>
  <Application>WPS Office_10.1.0.6759_F1E327BC-269C-435d-A152-05C5408002CA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2017-09-17T13:11:00Z</dcterms:created>
  <dc:creator>于炳文(民继处)</dc:creator>
  <cp:lastModifiedBy>JYX</cp:lastModifiedBy>
  <cp:lastPrinted>2017-07-19T01:37:00Z</cp:lastPrinted>
  <dcterms:modified xsi:type="dcterms:W3CDTF">2017-09-18T08:40:49Z</dcterms:modified>
  <dc:title>山东省教育厅</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2052-10.1.0.6759</vt:lpwstr>
  </property>
</Properties>
</file>